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B0" w:rsidRDefault="002C4239" w:rsidP="002C4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239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(комплаенс-рисков)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423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  <w:gridCol w:w="3026"/>
      </w:tblGrid>
      <w:tr w:rsidR="002C4239" w:rsidTr="002C4239">
        <w:tc>
          <w:tcPr>
            <w:tcW w:w="3025" w:type="dxa"/>
          </w:tcPr>
          <w:p w:rsidR="002C4239" w:rsidRDefault="002C4239" w:rsidP="002C4239">
            <w:r w:rsidRPr="00905C6E">
              <w:t xml:space="preserve">Уровень рисков </w:t>
            </w:r>
          </w:p>
        </w:tc>
        <w:tc>
          <w:tcPr>
            <w:tcW w:w="3025" w:type="dxa"/>
          </w:tcPr>
          <w:p w:rsidR="002C4239" w:rsidRDefault="002C4239" w:rsidP="002C4239">
            <w:r w:rsidRPr="00905C6E">
              <w:t xml:space="preserve">Вид риска (описание) </w:t>
            </w:r>
          </w:p>
        </w:tc>
        <w:tc>
          <w:tcPr>
            <w:tcW w:w="3025" w:type="dxa"/>
          </w:tcPr>
          <w:p w:rsidR="002C4239" w:rsidRDefault="002C4239" w:rsidP="002C4239">
            <w:r w:rsidRPr="00905C6E">
              <w:t xml:space="preserve">Причины и условия возникновения рисков </w:t>
            </w:r>
          </w:p>
        </w:tc>
        <w:tc>
          <w:tcPr>
            <w:tcW w:w="3026" w:type="dxa"/>
          </w:tcPr>
          <w:p w:rsidR="002C4239" w:rsidRDefault="002C4239" w:rsidP="002C4239">
            <w:r w:rsidRPr="00905C6E">
              <w:t xml:space="preserve">Общие меры по минимизации и устранению рисков </w:t>
            </w:r>
          </w:p>
        </w:tc>
        <w:tc>
          <w:tcPr>
            <w:tcW w:w="3026" w:type="dxa"/>
          </w:tcPr>
          <w:p w:rsidR="002C4239" w:rsidRDefault="002C4239" w:rsidP="002C4239">
            <w:r w:rsidRPr="00905C6E">
              <w:t>Вероятность повторного возникновения рисков</w:t>
            </w: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Низкий</w:t>
            </w: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Подготовка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Нарушения сроков при подготовке ответов на обращения граждан, касающихся ограничения, недопущения, устранения конкуренции органом исполнительной власти, не выявлены</w:t>
            </w: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Соблюдение регламентных сроков, осуществление внутреннего контроля</w:t>
            </w: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Отсутствуют</w:t>
            </w: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Низкий</w:t>
            </w: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Нарушения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Нарушение антимонопольного законодательства при осуществлении закупочной деятельности</w:t>
            </w:r>
          </w:p>
        </w:tc>
        <w:tc>
          <w:tcPr>
            <w:tcW w:w="3026" w:type="dxa"/>
          </w:tcPr>
          <w:p w:rsidR="002C4239" w:rsidRDefault="002C4239" w:rsidP="00F0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Анализ обращений по вопросу нарушений антимонопольного законодательства при осуществлении закупочной деятельности, усиление ведомственного контроля, своевременное повышение квалификации сотрудников отдела по организации и проведению конкурсов и аукционов</w:t>
            </w: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Низкая</w:t>
            </w: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Низкий</w:t>
            </w:r>
          </w:p>
        </w:tc>
        <w:tc>
          <w:tcPr>
            <w:tcW w:w="3025" w:type="dxa"/>
          </w:tcPr>
          <w:p w:rsidR="002C4239" w:rsidRDefault="002C4239" w:rsidP="00F0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Принятие решения, нарушающих единообразие практики, которые может привести к нарушению, антимонопольного законодательства</w:t>
            </w: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Принятие решения, нарушающих единообразие практики в отношении отдельных участков закупочных процедур, выбора способа определения поставщика, требований к характеристикам товара, работ, услуг</w:t>
            </w: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Использование единых форм закупочной документации, оперативное принятие решений по предписаниям, предостережениям со стороны контролирующих органов, уч</w:t>
            </w:r>
            <w:r w:rsidR="00F03782">
              <w:t>ет правоприменительн</w:t>
            </w:r>
            <w:r>
              <w:t>ой практики при осуществлении закупочной деятельности</w:t>
            </w:r>
          </w:p>
        </w:tc>
        <w:tc>
          <w:tcPr>
            <w:tcW w:w="3026" w:type="dxa"/>
          </w:tcPr>
          <w:p w:rsidR="002C4239" w:rsidRDefault="00F03782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Низкая</w:t>
            </w:r>
            <w:bookmarkStart w:id="0" w:name="_GoBack"/>
            <w:bookmarkEnd w:id="0"/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39" w:rsidTr="002C4239"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2C4239" w:rsidRDefault="002C4239" w:rsidP="002C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239" w:rsidRPr="002C4239" w:rsidRDefault="002C4239" w:rsidP="002C42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4239" w:rsidRPr="002C4239" w:rsidSect="002C423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4"/>
    <w:rsid w:val="002C4239"/>
    <w:rsid w:val="005C5A69"/>
    <w:rsid w:val="006E0EB0"/>
    <w:rsid w:val="00D41594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5670-32F5-47F3-8338-7015C78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2024-02-14T11:29:00Z</dcterms:created>
  <dcterms:modified xsi:type="dcterms:W3CDTF">2024-02-14T12:12:00Z</dcterms:modified>
</cp:coreProperties>
</file>